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6D3E6" w14:textId="471D9A6F" w:rsidR="00B663E8" w:rsidRPr="00D039D7" w:rsidRDefault="00D039D7">
      <w:pPr>
        <w:spacing w:after="0"/>
        <w:ind w:right="5"/>
        <w:jc w:val="center"/>
        <w:rPr>
          <w:rFonts w:ascii="Times New Roman" w:hAnsi="Times New Roman" w:cs="Times New Roman"/>
          <w:lang w:val="uk-UA"/>
        </w:rPr>
      </w:pPr>
      <w:r w:rsidRPr="00D039D7">
        <w:rPr>
          <w:rFonts w:ascii="Times New Roman" w:eastAsia="Times New Roman" w:hAnsi="Times New Roman" w:cs="Times New Roman"/>
          <w:b/>
          <w:sz w:val="32"/>
          <w:lang w:val="uk-UA"/>
        </w:rPr>
        <w:t>Електрична енергія</w:t>
      </w:r>
    </w:p>
    <w:p w14:paraId="3F4BD6E7" w14:textId="77777777" w:rsidR="00B663E8" w:rsidRPr="00D039D7" w:rsidRDefault="00D039D7">
      <w:pPr>
        <w:spacing w:after="0"/>
        <w:ind w:left="60"/>
        <w:jc w:val="center"/>
        <w:rPr>
          <w:rFonts w:ascii="Times New Roman" w:hAnsi="Times New Roman" w:cs="Times New Roman"/>
        </w:rPr>
      </w:pPr>
      <w:r w:rsidRPr="00D039D7">
        <w:rPr>
          <w:rFonts w:ascii="Times New Roman" w:eastAsia="Times New Roman" w:hAnsi="Times New Roman" w:cs="Times New Roman"/>
          <w:sz w:val="24"/>
        </w:rPr>
        <w:t xml:space="preserve"> </w:t>
      </w:r>
    </w:p>
    <w:p w14:paraId="5B80262C" w14:textId="77777777" w:rsidR="00B663E8" w:rsidRPr="00D039D7" w:rsidRDefault="00D039D7">
      <w:pPr>
        <w:spacing w:after="5" w:line="268" w:lineRule="auto"/>
        <w:ind w:left="-5" w:hanging="10"/>
        <w:jc w:val="both"/>
        <w:rPr>
          <w:rFonts w:ascii="Times New Roman" w:hAnsi="Times New Roman" w:cs="Times New Roman"/>
        </w:rPr>
      </w:pPr>
      <w:r w:rsidRPr="00D039D7">
        <w:rPr>
          <w:rFonts w:ascii="Times New Roman" w:eastAsia="Times New Roman" w:hAnsi="Times New Roman" w:cs="Times New Roman"/>
          <w:sz w:val="24"/>
        </w:rPr>
        <w:t xml:space="preserve">Обґрунтування технічних та якісних характеристик предмета закупівлі, його очікуваної вартості, конкурентної процедури закупівлі або повідомлення про намір укласти договір про закупівлю за результатами переговорної процедури закупівель </w:t>
      </w:r>
    </w:p>
    <w:p w14:paraId="5E45400C" w14:textId="77777777" w:rsidR="00B663E8" w:rsidRPr="00D039D7" w:rsidRDefault="00D039D7">
      <w:pPr>
        <w:spacing w:after="11"/>
        <w:rPr>
          <w:rFonts w:ascii="Times New Roman" w:hAnsi="Times New Roman" w:cs="Times New Roman"/>
        </w:rPr>
      </w:pPr>
      <w:r w:rsidRPr="00D039D7">
        <w:rPr>
          <w:rFonts w:ascii="Times New Roman" w:eastAsia="Times New Roman" w:hAnsi="Times New Roman" w:cs="Times New Roman"/>
          <w:sz w:val="24"/>
        </w:rPr>
        <w:t xml:space="preserve"> </w:t>
      </w:r>
    </w:p>
    <w:p w14:paraId="21B6F2F0" w14:textId="77777777" w:rsidR="00B663E8" w:rsidRPr="00D039D7" w:rsidRDefault="00D039D7">
      <w:pPr>
        <w:numPr>
          <w:ilvl w:val="0"/>
          <w:numId w:val="1"/>
        </w:numPr>
        <w:spacing w:after="0"/>
        <w:ind w:hanging="720"/>
        <w:rPr>
          <w:rFonts w:ascii="Times New Roman" w:hAnsi="Times New Roman" w:cs="Times New Roman"/>
        </w:rPr>
      </w:pPr>
      <w:r w:rsidRPr="00D039D7">
        <w:rPr>
          <w:rFonts w:ascii="Times New Roman" w:eastAsia="Times New Roman" w:hAnsi="Times New Roman" w:cs="Times New Roman"/>
          <w:b/>
          <w:sz w:val="24"/>
        </w:rPr>
        <w:t xml:space="preserve">ID номер: </w:t>
      </w:r>
    </w:p>
    <w:p w14:paraId="0292AE38" w14:textId="77777777" w:rsidR="00B663E8" w:rsidRPr="00D039D7" w:rsidRDefault="00D039D7">
      <w:pPr>
        <w:spacing w:after="0"/>
        <w:rPr>
          <w:rFonts w:ascii="Times New Roman" w:hAnsi="Times New Roman" w:cs="Times New Roman"/>
        </w:rPr>
      </w:pPr>
      <w:r w:rsidRPr="00D039D7">
        <w:rPr>
          <w:rFonts w:ascii="Times New Roman" w:eastAsia="Times New Roman" w:hAnsi="Times New Roman" w:cs="Times New Roman"/>
          <w:sz w:val="24"/>
        </w:rPr>
        <w:t xml:space="preserve"> </w:t>
      </w:r>
    </w:p>
    <w:p w14:paraId="65ED0CC8" w14:textId="77777777" w:rsidR="00D039D7" w:rsidRPr="00D039D7" w:rsidRDefault="00D039D7">
      <w:pPr>
        <w:spacing w:after="28"/>
        <w:rPr>
          <w:rFonts w:ascii="Times New Roman" w:eastAsia="Times New Roman" w:hAnsi="Times New Roman" w:cs="Times New Roman"/>
          <w:sz w:val="24"/>
        </w:rPr>
      </w:pPr>
      <w:r w:rsidRPr="00D039D7">
        <w:rPr>
          <w:rFonts w:ascii="Times New Roman" w:eastAsia="Times New Roman" w:hAnsi="Times New Roman" w:cs="Times New Roman"/>
          <w:sz w:val="24"/>
        </w:rPr>
        <w:t>UA-2021-11-16-014817-a</w:t>
      </w:r>
    </w:p>
    <w:p w14:paraId="334DD512" w14:textId="4890612E" w:rsidR="00B663E8" w:rsidRPr="00D039D7" w:rsidRDefault="00D039D7">
      <w:pPr>
        <w:spacing w:after="28"/>
        <w:rPr>
          <w:rFonts w:ascii="Times New Roman" w:hAnsi="Times New Roman" w:cs="Times New Roman"/>
        </w:rPr>
      </w:pPr>
      <w:r w:rsidRPr="00D039D7">
        <w:rPr>
          <w:rFonts w:ascii="Times New Roman" w:eastAsia="Times New Roman" w:hAnsi="Times New Roman" w:cs="Times New Roman"/>
          <w:sz w:val="24"/>
        </w:rPr>
        <w:t xml:space="preserve"> </w:t>
      </w:r>
    </w:p>
    <w:p w14:paraId="4BF3DF11" w14:textId="77777777" w:rsidR="00B663E8" w:rsidRPr="00D039D7" w:rsidRDefault="00D039D7">
      <w:pPr>
        <w:numPr>
          <w:ilvl w:val="0"/>
          <w:numId w:val="1"/>
        </w:numPr>
        <w:spacing w:after="0"/>
        <w:ind w:hanging="720"/>
        <w:rPr>
          <w:rFonts w:ascii="Times New Roman" w:hAnsi="Times New Roman" w:cs="Times New Roman"/>
        </w:rPr>
      </w:pPr>
      <w:r w:rsidRPr="00D039D7">
        <w:rPr>
          <w:rFonts w:ascii="Times New Roman" w:eastAsia="Times New Roman" w:hAnsi="Times New Roman" w:cs="Times New Roman"/>
          <w:b/>
          <w:sz w:val="24"/>
        </w:rPr>
        <w:t xml:space="preserve">Предмет закупівлі: </w:t>
      </w:r>
    </w:p>
    <w:p w14:paraId="65C16C9C" w14:textId="77777777" w:rsidR="00B663E8" w:rsidRPr="00D039D7" w:rsidRDefault="00D039D7">
      <w:pPr>
        <w:spacing w:after="17"/>
        <w:rPr>
          <w:rFonts w:ascii="Times New Roman" w:hAnsi="Times New Roman" w:cs="Times New Roman"/>
        </w:rPr>
      </w:pPr>
      <w:r w:rsidRPr="00D039D7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87089EB" w14:textId="5F19AF69" w:rsidR="00B663E8" w:rsidRPr="00D039D7" w:rsidRDefault="00D039D7">
      <w:pPr>
        <w:spacing w:after="5" w:line="268" w:lineRule="auto"/>
        <w:ind w:left="-5" w:hanging="10"/>
        <w:jc w:val="both"/>
        <w:rPr>
          <w:rFonts w:ascii="Times New Roman" w:hAnsi="Times New Roman" w:cs="Times New Roman"/>
        </w:rPr>
      </w:pPr>
      <w:r w:rsidRPr="00D039D7">
        <w:rPr>
          <w:rFonts w:ascii="Times New Roman" w:eastAsia="Times New Roman" w:hAnsi="Times New Roman" w:cs="Times New Roman"/>
          <w:sz w:val="24"/>
          <w:lang w:val="uk-UA"/>
        </w:rPr>
        <w:t>Електрична енергія</w:t>
      </w:r>
      <w:r w:rsidRPr="00D039D7">
        <w:rPr>
          <w:rFonts w:ascii="Times New Roman" w:eastAsia="Times New Roman" w:hAnsi="Times New Roman" w:cs="Times New Roman"/>
          <w:sz w:val="24"/>
        </w:rPr>
        <w:t>; 09310000-5: Електрична енергія за ДК 021:2015 «Єдиний закупівельний словник»</w:t>
      </w:r>
    </w:p>
    <w:p w14:paraId="2067CFC5" w14:textId="77777777" w:rsidR="00B663E8" w:rsidRPr="00D039D7" w:rsidRDefault="00D039D7">
      <w:pPr>
        <w:spacing w:after="33"/>
        <w:rPr>
          <w:rFonts w:ascii="Times New Roman" w:hAnsi="Times New Roman" w:cs="Times New Roman"/>
        </w:rPr>
      </w:pPr>
      <w:r w:rsidRPr="00D039D7">
        <w:rPr>
          <w:rFonts w:ascii="Times New Roman" w:eastAsia="Times New Roman" w:hAnsi="Times New Roman" w:cs="Times New Roman"/>
          <w:sz w:val="24"/>
        </w:rPr>
        <w:t xml:space="preserve"> </w:t>
      </w:r>
    </w:p>
    <w:p w14:paraId="499A7269" w14:textId="77777777" w:rsidR="00B663E8" w:rsidRPr="00D039D7" w:rsidRDefault="00D039D7">
      <w:pPr>
        <w:numPr>
          <w:ilvl w:val="0"/>
          <w:numId w:val="1"/>
        </w:numPr>
        <w:spacing w:after="0"/>
        <w:ind w:hanging="720"/>
        <w:rPr>
          <w:rFonts w:ascii="Times New Roman" w:hAnsi="Times New Roman" w:cs="Times New Roman"/>
        </w:rPr>
      </w:pPr>
      <w:r w:rsidRPr="00D039D7">
        <w:rPr>
          <w:rFonts w:ascii="Times New Roman" w:eastAsia="Times New Roman" w:hAnsi="Times New Roman" w:cs="Times New Roman"/>
          <w:b/>
          <w:sz w:val="24"/>
        </w:rPr>
        <w:t xml:space="preserve">Обґрунтування технічних та якісних характеристик предмета закупівлі: </w:t>
      </w:r>
    </w:p>
    <w:p w14:paraId="452408AD" w14:textId="77777777" w:rsidR="00B663E8" w:rsidRPr="00D039D7" w:rsidRDefault="00D039D7">
      <w:pPr>
        <w:spacing w:after="0"/>
        <w:rPr>
          <w:rFonts w:ascii="Times New Roman" w:hAnsi="Times New Roman" w:cs="Times New Roman"/>
        </w:rPr>
      </w:pPr>
      <w:r w:rsidRPr="00D039D7">
        <w:rPr>
          <w:rFonts w:ascii="Times New Roman" w:eastAsia="Times New Roman" w:hAnsi="Times New Roman" w:cs="Times New Roman"/>
          <w:sz w:val="24"/>
        </w:rPr>
        <w:t xml:space="preserve"> </w:t>
      </w:r>
    </w:p>
    <w:p w14:paraId="126DA938" w14:textId="77777777" w:rsidR="00B663E8" w:rsidRPr="00D039D7" w:rsidRDefault="00D039D7">
      <w:pPr>
        <w:spacing w:after="5" w:line="268" w:lineRule="auto"/>
        <w:ind w:left="-5" w:hanging="10"/>
        <w:jc w:val="both"/>
        <w:rPr>
          <w:rFonts w:ascii="Times New Roman" w:hAnsi="Times New Roman" w:cs="Times New Roman"/>
        </w:rPr>
      </w:pPr>
      <w:r w:rsidRPr="00D039D7">
        <w:rPr>
          <w:rFonts w:ascii="Times New Roman" w:eastAsia="Times New Roman" w:hAnsi="Times New Roman" w:cs="Times New Roman"/>
          <w:sz w:val="24"/>
        </w:rPr>
        <w:t xml:space="preserve">Інформація про технічні, якісні та кількісні характеристики предмета закупівлі наведена в Додатку 3 до тендерної документації на закупівлю. Технічні та якісні характеристики предмета закупівлі визначені відповідно до потреб замовника та з урахуванням вимог законодавства. </w:t>
      </w:r>
    </w:p>
    <w:p w14:paraId="1401910E" w14:textId="77777777" w:rsidR="00B663E8" w:rsidRPr="00D039D7" w:rsidRDefault="00D039D7">
      <w:pPr>
        <w:spacing w:after="32"/>
        <w:rPr>
          <w:rFonts w:ascii="Times New Roman" w:hAnsi="Times New Roman" w:cs="Times New Roman"/>
        </w:rPr>
      </w:pPr>
      <w:r w:rsidRPr="00D039D7">
        <w:rPr>
          <w:rFonts w:ascii="Times New Roman" w:eastAsia="Times New Roman" w:hAnsi="Times New Roman" w:cs="Times New Roman"/>
          <w:sz w:val="24"/>
        </w:rPr>
        <w:t xml:space="preserve"> </w:t>
      </w:r>
    </w:p>
    <w:p w14:paraId="1B26730C" w14:textId="77777777" w:rsidR="00B663E8" w:rsidRPr="00D039D7" w:rsidRDefault="00D039D7">
      <w:pPr>
        <w:numPr>
          <w:ilvl w:val="0"/>
          <w:numId w:val="1"/>
        </w:numPr>
        <w:spacing w:after="0"/>
        <w:ind w:hanging="720"/>
        <w:rPr>
          <w:rFonts w:ascii="Times New Roman" w:hAnsi="Times New Roman" w:cs="Times New Roman"/>
        </w:rPr>
      </w:pPr>
      <w:r w:rsidRPr="00D039D7">
        <w:rPr>
          <w:rFonts w:ascii="Times New Roman" w:eastAsia="Times New Roman" w:hAnsi="Times New Roman" w:cs="Times New Roman"/>
          <w:b/>
          <w:sz w:val="24"/>
        </w:rPr>
        <w:t xml:space="preserve">Обґрунтування розміру бюджетного призначення: </w:t>
      </w:r>
    </w:p>
    <w:p w14:paraId="2D18463D" w14:textId="77777777" w:rsidR="00B663E8" w:rsidRPr="00D039D7" w:rsidRDefault="00D039D7">
      <w:pPr>
        <w:spacing w:after="18"/>
        <w:rPr>
          <w:rFonts w:ascii="Times New Roman" w:hAnsi="Times New Roman" w:cs="Times New Roman"/>
        </w:rPr>
      </w:pPr>
      <w:r w:rsidRPr="00D039D7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FA6D9C6" w14:textId="308BD0D3" w:rsidR="00B663E8" w:rsidRPr="002F08E7" w:rsidRDefault="00D039D7" w:rsidP="00D039D7">
      <w:pPr>
        <w:spacing w:after="5" w:line="268" w:lineRule="auto"/>
        <w:ind w:left="-5" w:hanging="10"/>
        <w:jc w:val="both"/>
        <w:rPr>
          <w:rFonts w:ascii="Times New Roman" w:hAnsi="Times New Roman" w:cs="Times New Roman"/>
          <w:lang w:val="uk-UA"/>
        </w:rPr>
      </w:pPr>
      <w:r w:rsidRPr="00D039D7">
        <w:rPr>
          <w:rFonts w:ascii="Times New Roman" w:eastAsia="Times New Roman" w:hAnsi="Times New Roman" w:cs="Times New Roman"/>
          <w:sz w:val="24"/>
        </w:rPr>
        <w:t>Розмір бюджетного призначення визначено</w:t>
      </w:r>
      <w:r w:rsidR="002F08E7">
        <w:rPr>
          <w:rFonts w:ascii="Times New Roman" w:eastAsia="Times New Roman" w:hAnsi="Times New Roman" w:cs="Times New Roman"/>
          <w:sz w:val="24"/>
          <w:lang w:val="uk-UA"/>
        </w:rPr>
        <w:t xml:space="preserve"> відповідно</w:t>
      </w:r>
      <w:r w:rsidRPr="00D039D7">
        <w:rPr>
          <w:rFonts w:ascii="Times New Roman" w:eastAsia="Times New Roman" w:hAnsi="Times New Roman" w:cs="Times New Roman"/>
          <w:sz w:val="24"/>
        </w:rPr>
        <w:t xml:space="preserve"> </w:t>
      </w:r>
      <w:r w:rsidR="002F08E7">
        <w:rPr>
          <w:rFonts w:ascii="Times New Roman" w:eastAsia="Times New Roman" w:hAnsi="Times New Roman" w:cs="Times New Roman"/>
          <w:sz w:val="24"/>
          <w:lang w:val="uk-UA"/>
        </w:rPr>
        <w:t xml:space="preserve">до бюджетної пропозиції на 2022 рік для підготовки проекту бюджету за бюджетними програмами </w:t>
      </w:r>
      <w:r w:rsidRPr="00D039D7">
        <w:rPr>
          <w:rFonts w:ascii="Times New Roman" w:eastAsia="Times New Roman" w:hAnsi="Times New Roman" w:cs="Times New Roman"/>
          <w:sz w:val="24"/>
        </w:rPr>
        <w:t>за КПКВК 2201160 «Підготовка кадрів закладами вищої освіти та</w:t>
      </w:r>
      <w:r w:rsidR="002F08E7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D039D7">
        <w:rPr>
          <w:rFonts w:ascii="Times New Roman" w:eastAsia="Times New Roman" w:hAnsi="Times New Roman" w:cs="Times New Roman"/>
          <w:sz w:val="24"/>
        </w:rPr>
        <w:t>забезпечення діяльності їх баз практики»</w:t>
      </w:r>
      <w:r w:rsidR="002F08E7">
        <w:rPr>
          <w:rFonts w:ascii="Times New Roman" w:eastAsia="Times New Roman" w:hAnsi="Times New Roman" w:cs="Times New Roman"/>
          <w:sz w:val="24"/>
          <w:lang w:val="uk-UA"/>
        </w:rPr>
        <w:t>.</w:t>
      </w:r>
    </w:p>
    <w:p w14:paraId="7EFD4C27" w14:textId="77777777" w:rsidR="00B663E8" w:rsidRPr="00D039D7" w:rsidRDefault="00D039D7">
      <w:pPr>
        <w:spacing w:after="33"/>
        <w:rPr>
          <w:rFonts w:ascii="Times New Roman" w:hAnsi="Times New Roman" w:cs="Times New Roman"/>
        </w:rPr>
      </w:pPr>
      <w:r w:rsidRPr="00D039D7">
        <w:rPr>
          <w:rFonts w:ascii="Times New Roman" w:eastAsia="Times New Roman" w:hAnsi="Times New Roman" w:cs="Times New Roman"/>
          <w:sz w:val="24"/>
        </w:rPr>
        <w:t xml:space="preserve"> </w:t>
      </w:r>
    </w:p>
    <w:p w14:paraId="565F8275" w14:textId="77777777" w:rsidR="00B663E8" w:rsidRPr="00D039D7" w:rsidRDefault="00D039D7">
      <w:pPr>
        <w:numPr>
          <w:ilvl w:val="0"/>
          <w:numId w:val="1"/>
        </w:numPr>
        <w:spacing w:after="0"/>
        <w:ind w:hanging="720"/>
        <w:rPr>
          <w:rFonts w:ascii="Times New Roman" w:hAnsi="Times New Roman" w:cs="Times New Roman"/>
        </w:rPr>
      </w:pPr>
      <w:r w:rsidRPr="00D039D7">
        <w:rPr>
          <w:rFonts w:ascii="Times New Roman" w:eastAsia="Times New Roman" w:hAnsi="Times New Roman" w:cs="Times New Roman"/>
          <w:b/>
          <w:sz w:val="24"/>
        </w:rPr>
        <w:t xml:space="preserve">Обґрунтування очікуваної вартості предмета закупівлі: </w:t>
      </w:r>
    </w:p>
    <w:p w14:paraId="291C99F2" w14:textId="01A6015D" w:rsidR="00B663E8" w:rsidRPr="00D039D7" w:rsidRDefault="00D039D7">
      <w:pPr>
        <w:spacing w:after="18"/>
        <w:rPr>
          <w:rFonts w:ascii="Times New Roman" w:eastAsia="Times New Roman" w:hAnsi="Times New Roman" w:cs="Times New Roman"/>
          <w:b/>
          <w:sz w:val="24"/>
        </w:rPr>
      </w:pPr>
      <w:r w:rsidRPr="00D039D7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AF52BC4" w14:textId="77777777" w:rsidR="00D039D7" w:rsidRPr="00D039D7" w:rsidRDefault="00D039D7" w:rsidP="00D039D7">
      <w:pPr>
        <w:jc w:val="both"/>
        <w:rPr>
          <w:rFonts w:ascii="Times New Roman" w:hAnsi="Times New Roman" w:cs="Times New Roman"/>
        </w:rPr>
      </w:pPr>
      <w:r w:rsidRPr="00D039D7">
        <w:rPr>
          <w:rFonts w:ascii="Times New Roman" w:hAnsi="Times New Roman" w:cs="Times New Roman"/>
        </w:rPr>
        <w:t xml:space="preserve">Розрахунок очікуваної вартості здійснено на підставі Примірної методики визначення очікуваної вартості предмета закупівлі, затвердженої наказом Мінекономрозвитку від 18.02.2020 № 275, з урахуванням рекомендацій уповноваженого органу, викладених в листі № 3304-04/33869-06 від 14.08.2019 Щодо зміни ціни у договорах постачання електричної енергії. </w:t>
      </w:r>
    </w:p>
    <w:p w14:paraId="4A9CC48F" w14:textId="77777777" w:rsidR="00D039D7" w:rsidRPr="00D039D7" w:rsidRDefault="00D039D7" w:rsidP="00D039D7">
      <w:pPr>
        <w:jc w:val="both"/>
        <w:rPr>
          <w:rFonts w:ascii="Times New Roman" w:hAnsi="Times New Roman" w:cs="Times New Roman"/>
        </w:rPr>
      </w:pPr>
      <w:r w:rsidRPr="00D039D7">
        <w:rPr>
          <w:rFonts w:ascii="Times New Roman" w:hAnsi="Times New Roman" w:cs="Times New Roman"/>
        </w:rPr>
        <w:t xml:space="preserve">Відповідно до даних ДП «Оператор ринку» стосовно торгової зони Об’єднана енергетична система України  вартість електричної енергії в листопаді 2021 на дату оголошення відкритих торгів в період основного споживання замовником електричної енергії з 8:00 до 18:00 на «ринку на добу наперед» становить біля 4,00 грн за 1 кВт/год без ПДВ. </w:t>
      </w:r>
    </w:p>
    <w:p w14:paraId="7B2D914A" w14:textId="77777777" w:rsidR="00D039D7" w:rsidRPr="00D039D7" w:rsidRDefault="00D039D7" w:rsidP="00D039D7">
      <w:pPr>
        <w:rPr>
          <w:rFonts w:ascii="Times New Roman" w:hAnsi="Times New Roman" w:cs="Times New Roman"/>
          <w:noProof/>
        </w:rPr>
      </w:pPr>
      <w:r w:rsidRPr="00D039D7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D1F56E9" wp14:editId="36562A0C">
            <wp:extent cx="6120765" cy="32404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BC0F1" w14:textId="77777777" w:rsidR="00D039D7" w:rsidRPr="00D039D7" w:rsidRDefault="00D039D7" w:rsidP="00D039D7">
      <w:pPr>
        <w:rPr>
          <w:rFonts w:ascii="Times New Roman" w:hAnsi="Times New Roman" w:cs="Times New Roman"/>
          <w:noProof/>
        </w:rPr>
      </w:pPr>
    </w:p>
    <w:p w14:paraId="0F95972D" w14:textId="77777777" w:rsidR="00D039D7" w:rsidRPr="00D039D7" w:rsidRDefault="00D039D7" w:rsidP="00D039D7">
      <w:pPr>
        <w:rPr>
          <w:rFonts w:ascii="Times New Roman" w:hAnsi="Times New Roman" w:cs="Times New Roman"/>
        </w:rPr>
      </w:pPr>
      <w:r w:rsidRPr="00D039D7">
        <w:rPr>
          <w:rFonts w:ascii="Times New Roman" w:hAnsi="Times New Roman" w:cs="Times New Roman"/>
        </w:rPr>
        <w:t>Тариф на передачу 1 кВт/год електричної енергії становить  0,29393 без ПДВ.</w:t>
      </w:r>
    </w:p>
    <w:p w14:paraId="78D5409B" w14:textId="77777777" w:rsidR="00D039D7" w:rsidRPr="00D039D7" w:rsidRDefault="00D039D7" w:rsidP="00D039D7">
      <w:pPr>
        <w:rPr>
          <w:rFonts w:ascii="Times New Roman" w:hAnsi="Times New Roman" w:cs="Times New Roman"/>
        </w:rPr>
      </w:pPr>
      <w:r w:rsidRPr="00D039D7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2297DC83" wp14:editId="36F35260">
            <wp:extent cx="6120765" cy="23837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38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C8168" w14:textId="77777777" w:rsidR="00D039D7" w:rsidRPr="00D039D7" w:rsidRDefault="00D039D7" w:rsidP="00D039D7">
      <w:pPr>
        <w:rPr>
          <w:rFonts w:ascii="Times New Roman" w:hAnsi="Times New Roman" w:cs="Times New Roman"/>
        </w:rPr>
      </w:pPr>
      <w:r w:rsidRPr="00D039D7">
        <w:rPr>
          <w:rFonts w:ascii="Times New Roman" w:hAnsi="Times New Roman" w:cs="Times New Roman"/>
        </w:rPr>
        <w:t>Таким чином, ціна за 1 кВт/год електричної енергії з передачею становитиме:</w:t>
      </w:r>
    </w:p>
    <w:p w14:paraId="689D3970" w14:textId="77777777" w:rsidR="00D039D7" w:rsidRPr="00D039D7" w:rsidRDefault="00D039D7" w:rsidP="00D039D7">
      <w:pPr>
        <w:rPr>
          <w:rFonts w:ascii="Times New Roman" w:hAnsi="Times New Roman" w:cs="Times New Roman"/>
        </w:rPr>
      </w:pPr>
      <w:r w:rsidRPr="00D039D7">
        <w:rPr>
          <w:rFonts w:ascii="Times New Roman" w:hAnsi="Times New Roman" w:cs="Times New Roman"/>
        </w:rPr>
        <w:t>4,00 + 0,29393 = 4,29393 + 20 % ПДВ = 5,152716 грн.</w:t>
      </w:r>
    </w:p>
    <w:p w14:paraId="72B1628A" w14:textId="77777777" w:rsidR="00D039D7" w:rsidRPr="00D039D7" w:rsidRDefault="00D039D7" w:rsidP="00D039D7">
      <w:pPr>
        <w:rPr>
          <w:rFonts w:ascii="Times New Roman" w:hAnsi="Times New Roman" w:cs="Times New Roman"/>
        </w:rPr>
      </w:pPr>
      <w:r w:rsidRPr="00D039D7">
        <w:rPr>
          <w:rFonts w:ascii="Times New Roman" w:hAnsi="Times New Roman" w:cs="Times New Roman"/>
        </w:rPr>
        <w:t>Враховуючи необхідність отримання прибутку постачальником, доцільним є визначення очікуваної вартості 1 кВт./год. електричної енергії на рівні 5,20 грн, таким чином закупівля здійснюється всього на 6 892 600,00 грн за 1 325 500 кВт/год.</w:t>
      </w:r>
    </w:p>
    <w:p w14:paraId="1A1E34B5" w14:textId="77777777" w:rsidR="00D039D7" w:rsidRPr="00D039D7" w:rsidRDefault="00D039D7" w:rsidP="00D039D7">
      <w:pPr>
        <w:rPr>
          <w:rFonts w:ascii="Times New Roman" w:hAnsi="Times New Roman" w:cs="Times New Roman"/>
        </w:rPr>
      </w:pPr>
      <w:r w:rsidRPr="00D039D7">
        <w:rPr>
          <w:rFonts w:ascii="Times New Roman" w:hAnsi="Times New Roman" w:cs="Times New Roman"/>
        </w:rPr>
        <w:t xml:space="preserve">Необхідно відмітити, що розрахована очікувана ціна 1 кВт/год електричної енергії відповідає ціні на електричну енергію в електронному каталозі прозорро маркет </w:t>
      </w:r>
    </w:p>
    <w:p w14:paraId="13D8BEE0" w14:textId="77777777" w:rsidR="00D039D7" w:rsidRPr="00D039D7" w:rsidRDefault="00D039D7" w:rsidP="00D039D7">
      <w:pPr>
        <w:rPr>
          <w:rFonts w:ascii="Times New Roman" w:hAnsi="Times New Roman" w:cs="Times New Roman"/>
        </w:rPr>
      </w:pPr>
      <w:r w:rsidRPr="00D039D7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FABFCFA" wp14:editId="7414BCF6">
            <wp:extent cx="6120765" cy="579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579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EF28C" w14:textId="77777777" w:rsidR="00D039D7" w:rsidRPr="00D039D7" w:rsidRDefault="00D039D7">
      <w:pPr>
        <w:spacing w:after="18"/>
        <w:rPr>
          <w:rFonts w:ascii="Times New Roman" w:hAnsi="Times New Roman" w:cs="Times New Roman"/>
        </w:rPr>
      </w:pPr>
    </w:p>
    <w:sectPr w:rsidR="00D039D7" w:rsidRPr="00D039D7" w:rsidSect="00D039D7">
      <w:pgSz w:w="11909" w:h="16834"/>
      <w:pgMar w:top="851" w:right="85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11E13"/>
    <w:multiLevelType w:val="hybridMultilevel"/>
    <w:tmpl w:val="FF982D2E"/>
    <w:lvl w:ilvl="0" w:tplc="871A8EC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2ACE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565E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8A9D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9C57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3C38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E2CE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60BD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C0F0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3E8"/>
    <w:rsid w:val="002F08E7"/>
    <w:rsid w:val="00B663E8"/>
    <w:rsid w:val="00D0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C6EBC"/>
  <w15:docId w15:val="{B9CE7A69-3783-4E80-8460-4F2A7FDD7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MTZ</dc:creator>
  <cp:keywords/>
  <cp:lastModifiedBy>MTZ</cp:lastModifiedBy>
  <cp:revision>3</cp:revision>
  <dcterms:created xsi:type="dcterms:W3CDTF">2021-12-01T16:08:00Z</dcterms:created>
  <dcterms:modified xsi:type="dcterms:W3CDTF">2022-01-25T15:14:00Z</dcterms:modified>
</cp:coreProperties>
</file>